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F26107" w:rsidP="008A22C6">
            <w:pPr>
              <w:rPr>
                <w:rFonts w:ascii="Arial" w:hAnsi="Arial" w:cs="Arial"/>
              </w:rPr>
            </w:pPr>
            <w:r w:rsidRPr="00F26107">
              <w:rPr>
                <w:rFonts w:ascii="Arial" w:hAnsi="Arial" w:cs="Arial"/>
              </w:rPr>
              <w:t xml:space="preserve">Transfer by sale of land at Carole’s Way and The Oval, Rose Hill to Oxford City Housing (Development) Limited (OCH(D)L) and the purchase of the completed development by Oxford City Council from OCH(D)L  </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F26107" w:rsidP="008A22C6">
            <w:pPr>
              <w:rPr>
                <w:rFonts w:ascii="Arial" w:hAnsi="Arial" w:cs="Arial"/>
              </w:rPr>
            </w:pPr>
            <w:r>
              <w:rPr>
                <w:rFonts w:ascii="Arial" w:hAnsi="Arial" w:cs="Arial"/>
              </w:rPr>
              <w:t>19 February 2021</w:t>
            </w:r>
          </w:p>
        </w:tc>
      </w:tr>
      <w:tr w:rsidR="00854133" w:rsidTr="008E4629">
        <w:tc>
          <w:tcPr>
            <w:tcW w:w="4962"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rsidR="00F26107" w:rsidRDefault="00F26107" w:rsidP="004A049B">
            <w:pPr>
              <w:rPr>
                <w:rFonts w:ascii="Arial" w:hAnsi="Arial" w:cs="Arial"/>
              </w:rPr>
            </w:pPr>
            <w:r>
              <w:rPr>
                <w:rFonts w:ascii="Arial" w:hAnsi="Arial" w:cs="Arial"/>
              </w:rPr>
              <w:t>Cabinet on 19 May 2019 agreed to delegate authority to the Assistant Chief Executive to:</w:t>
            </w:r>
          </w:p>
          <w:p w:rsidR="00F26107" w:rsidRDefault="00F26107" w:rsidP="004A049B">
            <w:pPr>
              <w:rPr>
                <w:rFonts w:ascii="Arial" w:hAnsi="Arial" w:cs="Arial"/>
              </w:rPr>
            </w:pPr>
          </w:p>
          <w:p w:rsidR="00F26107" w:rsidRPr="00F26107" w:rsidRDefault="00F26107" w:rsidP="00F26107">
            <w:pPr>
              <w:pStyle w:val="ListParagraph"/>
              <w:numPr>
                <w:ilvl w:val="0"/>
                <w:numId w:val="9"/>
              </w:numPr>
              <w:rPr>
                <w:rFonts w:ascii="Arial" w:hAnsi="Arial" w:cs="Arial"/>
              </w:rPr>
            </w:pPr>
            <w:r w:rsidRPr="00F26107">
              <w:rPr>
                <w:rFonts w:ascii="Arial" w:hAnsi="Arial" w:cs="Arial"/>
              </w:rPr>
              <w:t>Approve the sale of sites as set out in the OCHL business plan to OCHL providing that such sales comply with the mechanism set out in paragraph 31 of this report and s123 of the Local Government Act 1972, and are made on the basis that following development all affordable housing units at the sites would be purchased back by the Council through the Housing Revenue Account.</w:t>
            </w:r>
          </w:p>
          <w:p w:rsidR="004A049B" w:rsidRPr="00F26107" w:rsidRDefault="00F26107" w:rsidP="00F26107">
            <w:pPr>
              <w:pStyle w:val="ListParagraph"/>
              <w:numPr>
                <w:ilvl w:val="0"/>
                <w:numId w:val="9"/>
              </w:numPr>
              <w:rPr>
                <w:rFonts w:ascii="Arial" w:hAnsi="Arial" w:cs="Arial"/>
              </w:rPr>
            </w:pPr>
            <w:r w:rsidRPr="00F26107">
              <w:rPr>
                <w:rFonts w:ascii="Arial" w:hAnsi="Arial" w:cs="Arial"/>
              </w:rPr>
              <w:t>Approve and facilitate the</w:t>
            </w:r>
            <w:r>
              <w:rPr>
                <w:rFonts w:ascii="Arial" w:hAnsi="Arial" w:cs="Arial"/>
              </w:rPr>
              <w:t xml:space="preserve"> agreed purchase by the HRA of all affordable </w:t>
            </w:r>
            <w:r w:rsidRPr="00F26107">
              <w:rPr>
                <w:rFonts w:ascii="Arial" w:hAnsi="Arial" w:cs="Arial"/>
              </w:rPr>
              <w:t>housing units at the OHCL development sites.</w:t>
            </w:r>
          </w:p>
          <w:p w:rsidR="00F26107" w:rsidRPr="00F26107" w:rsidRDefault="00F26107" w:rsidP="00F26107">
            <w:pPr>
              <w:pStyle w:val="ListParagraph"/>
              <w:rPr>
                <w:rFonts w:ascii="Arial" w:hAnsi="Arial" w:cs="Arial"/>
              </w:rPr>
            </w:pPr>
          </w:p>
        </w:tc>
      </w:tr>
      <w:tr w:rsidR="00B87695" w:rsidTr="008E4629">
        <w:tc>
          <w:tcPr>
            <w:tcW w:w="4962" w:type="dxa"/>
          </w:tcPr>
          <w:p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rsidR="00F26107" w:rsidRPr="00F26107" w:rsidRDefault="00F26107" w:rsidP="00F26107">
            <w:pPr>
              <w:numPr>
                <w:ilvl w:val="0"/>
                <w:numId w:val="8"/>
              </w:numPr>
              <w:rPr>
                <w:rFonts w:ascii="Arial" w:hAnsi="Arial" w:cs="Arial"/>
              </w:rPr>
            </w:pPr>
            <w:r w:rsidRPr="00F26107">
              <w:rPr>
                <w:rFonts w:ascii="Arial" w:hAnsi="Arial" w:cs="Arial"/>
              </w:rPr>
              <w:t xml:space="preserve">To authorise the transfer by sale of land on Carole’s Way and The Oval, Rose Hill to Oxford City Housing (Development) Limited for a consideration of £410,000. </w:t>
            </w:r>
          </w:p>
          <w:p w:rsidR="00F26107" w:rsidRPr="00F26107" w:rsidRDefault="00F26107" w:rsidP="00F26107">
            <w:pPr>
              <w:rPr>
                <w:rFonts w:ascii="Arial" w:hAnsi="Arial" w:cs="Arial"/>
              </w:rPr>
            </w:pPr>
          </w:p>
          <w:p w:rsidR="00F26107" w:rsidRPr="00F26107" w:rsidRDefault="00F26107" w:rsidP="00F26107">
            <w:pPr>
              <w:numPr>
                <w:ilvl w:val="0"/>
                <w:numId w:val="8"/>
              </w:numPr>
              <w:rPr>
                <w:rFonts w:ascii="Arial" w:hAnsi="Arial" w:cs="Arial"/>
              </w:rPr>
            </w:pPr>
            <w:r w:rsidRPr="00F26107">
              <w:rPr>
                <w:rFonts w:ascii="Arial" w:hAnsi="Arial" w:cs="Arial"/>
              </w:rPr>
              <w:t>To authorise the transfer by purchase of the land and completed housing units from Oxford City Housing (Development) Limited by the Council’s Housing Revenue Account for a consideration of £11,745,000 in total.</w:t>
            </w:r>
          </w:p>
          <w:p w:rsidR="006247C4" w:rsidRPr="00A96C08" w:rsidRDefault="006247C4" w:rsidP="00CB5E4F">
            <w:pPr>
              <w:rPr>
                <w:rFonts w:ascii="Arial" w:hAnsi="Arial" w:cs="Arial"/>
              </w:rPr>
            </w:pPr>
          </w:p>
        </w:tc>
      </w:tr>
      <w:tr w:rsidR="00373F5D" w:rsidTr="008E4629">
        <w:tc>
          <w:tcPr>
            <w:tcW w:w="4962" w:type="dxa"/>
          </w:tcPr>
          <w:p w:rsidR="00373F5D" w:rsidRPr="00373F5D" w:rsidRDefault="00373F5D" w:rsidP="00C678ED">
            <w:pPr>
              <w:spacing w:before="120" w:after="120"/>
              <w:rPr>
                <w:rFonts w:ascii="Arial" w:hAnsi="Arial" w:cs="Arial"/>
              </w:rPr>
            </w:pPr>
            <w:r>
              <w:rPr>
                <w:rFonts w:ascii="Arial" w:hAnsi="Arial" w:cs="Arial"/>
                <w:b/>
              </w:rPr>
              <w:t xml:space="preserve">Purpose: </w:t>
            </w:r>
            <w:r>
              <w:rPr>
                <w:rFonts w:ascii="Arial" w:hAnsi="Arial" w:cs="Arial"/>
              </w:rPr>
              <w:t>What does the decision deliver or achieve?</w:t>
            </w:r>
          </w:p>
        </w:tc>
        <w:tc>
          <w:tcPr>
            <w:tcW w:w="4962" w:type="dxa"/>
          </w:tcPr>
          <w:p w:rsidR="00F26107" w:rsidRDefault="00F26107" w:rsidP="00CB5E4F">
            <w:pPr>
              <w:rPr>
                <w:rFonts w:ascii="Arial" w:hAnsi="Arial" w:cs="Arial"/>
              </w:rPr>
            </w:pPr>
            <w:r>
              <w:rPr>
                <w:rFonts w:ascii="Arial" w:hAnsi="Arial" w:cs="Arial"/>
              </w:rPr>
              <w:t>To authorise</w:t>
            </w:r>
            <w:r>
              <w:t xml:space="preserve"> </w:t>
            </w:r>
            <w:r w:rsidRPr="00F26107">
              <w:rPr>
                <w:rFonts w:ascii="Arial" w:hAnsi="Arial" w:cs="Arial"/>
              </w:rPr>
              <w:t>the transfer by sale of land at Carole’s Way and The Oval, Rose Hill to Oxford City Housing (Dev</w:t>
            </w:r>
            <w:r>
              <w:rPr>
                <w:rFonts w:ascii="Arial" w:hAnsi="Arial" w:cs="Arial"/>
              </w:rPr>
              <w:t>elopment) Limited (OCH(D)L) and</w:t>
            </w:r>
            <w:r w:rsidRPr="00F26107">
              <w:rPr>
                <w:rFonts w:ascii="Arial" w:hAnsi="Arial" w:cs="Arial"/>
              </w:rPr>
              <w:t xml:space="preserve"> Oxford City Council to purchase the completed development</w:t>
            </w:r>
          </w:p>
          <w:p w:rsidR="00F26107" w:rsidRDefault="00F26107" w:rsidP="00CB5E4F">
            <w:pPr>
              <w:rPr>
                <w:rFonts w:ascii="Arial" w:hAnsi="Arial" w:cs="Arial"/>
              </w:rPr>
            </w:pPr>
          </w:p>
          <w:p w:rsidR="00F26107" w:rsidRDefault="00F26107" w:rsidP="00CB5E4F">
            <w:pPr>
              <w:rPr>
                <w:rFonts w:ascii="Arial" w:hAnsi="Arial" w:cs="Arial"/>
              </w:rPr>
            </w:pPr>
            <w:r w:rsidRPr="00F26107">
              <w:rPr>
                <w:rFonts w:ascii="Arial" w:hAnsi="Arial" w:cs="Arial"/>
              </w:rPr>
              <w:t>As</w:t>
            </w:r>
            <w:r>
              <w:rPr>
                <w:rFonts w:ascii="Arial" w:hAnsi="Arial" w:cs="Arial"/>
              </w:rPr>
              <w:t xml:space="preserve"> part of Oxford City Council’s City Executive Board </w:t>
            </w:r>
            <w:r w:rsidRPr="00F26107">
              <w:rPr>
                <w:rFonts w:ascii="Arial" w:hAnsi="Arial" w:cs="Arial"/>
              </w:rPr>
              <w:t>decision on 17 March 2016 to establish Oxford City Housing Limited it was agreed that the Council’s wholly owned Housing Company OCH(D)L would develop new affordable housing with a range of tenures.</w:t>
            </w:r>
          </w:p>
          <w:p w:rsidR="00F26107" w:rsidRDefault="00F26107" w:rsidP="00CB5E4F">
            <w:pPr>
              <w:rPr>
                <w:rFonts w:ascii="Arial" w:hAnsi="Arial" w:cs="Arial"/>
              </w:rPr>
            </w:pPr>
          </w:p>
          <w:p w:rsidR="00373F5D" w:rsidRPr="00A96C08" w:rsidRDefault="00F26107" w:rsidP="00F26107">
            <w:pPr>
              <w:rPr>
                <w:rFonts w:ascii="Arial" w:hAnsi="Arial" w:cs="Arial"/>
              </w:rPr>
            </w:pPr>
            <w:r>
              <w:rPr>
                <w:rFonts w:ascii="Arial" w:hAnsi="Arial" w:cs="Arial"/>
              </w:rPr>
              <w:t>O</w:t>
            </w:r>
            <w:r w:rsidRPr="00F26107">
              <w:rPr>
                <w:rFonts w:ascii="Arial" w:hAnsi="Arial" w:cs="Arial"/>
              </w:rPr>
              <w:t>CH(D</w:t>
            </w:r>
            <w:r>
              <w:rPr>
                <w:rFonts w:ascii="Arial" w:hAnsi="Arial" w:cs="Arial"/>
              </w:rPr>
              <w:t>)</w:t>
            </w:r>
            <w:r w:rsidRPr="00F26107">
              <w:rPr>
                <w:rFonts w:ascii="Arial" w:hAnsi="Arial" w:cs="Arial"/>
              </w:rPr>
              <w:t>L has obtained planning permission to deliver 43 affordable homes (18/0</w:t>
            </w:r>
            <w:r w:rsidR="00E82641">
              <w:rPr>
                <w:rFonts w:ascii="Arial" w:hAnsi="Arial" w:cs="Arial"/>
              </w:rPr>
              <w:t>217/FUL for The Oval, and 18/02</w:t>
            </w:r>
            <w:r w:rsidRPr="00F26107">
              <w:rPr>
                <w:rFonts w:ascii="Arial" w:hAnsi="Arial" w:cs="Arial"/>
              </w:rPr>
              <w:t>18/FUL for Carole’s Way).</w:t>
            </w:r>
          </w:p>
        </w:tc>
      </w:tr>
      <w:tr w:rsidR="00DC2E8D" w:rsidTr="008E4629">
        <w:tc>
          <w:tcPr>
            <w:tcW w:w="4962"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4962" w:type="dxa"/>
          </w:tcPr>
          <w:p w:rsidR="00CB5E4F" w:rsidRDefault="00A6719C" w:rsidP="008A22C6">
            <w:pPr>
              <w:rPr>
                <w:rFonts w:ascii="Arial" w:hAnsi="Arial" w:cs="Arial"/>
              </w:rPr>
            </w:pPr>
            <w:r>
              <w:rPr>
                <w:rFonts w:ascii="Arial" w:hAnsi="Arial" w:cs="Arial"/>
              </w:rPr>
              <w:t>To support the delivery of affordable housing.</w:t>
            </w:r>
          </w:p>
          <w:p w:rsidR="00A6719C" w:rsidRDefault="00A6719C" w:rsidP="008A22C6">
            <w:pPr>
              <w:rPr>
                <w:rFonts w:ascii="Arial" w:hAnsi="Arial" w:cs="Arial"/>
              </w:rPr>
            </w:pPr>
          </w:p>
          <w:p w:rsidR="00A6719C" w:rsidRDefault="00A6719C" w:rsidP="008A22C6">
            <w:pPr>
              <w:rPr>
                <w:rFonts w:ascii="Arial" w:hAnsi="Arial" w:cs="Arial"/>
              </w:rPr>
            </w:pPr>
            <w:r>
              <w:rPr>
                <w:rFonts w:ascii="Arial" w:hAnsi="Arial" w:cs="Arial"/>
              </w:rPr>
              <w:t>The viability appraisals undertaken show that the scheme is within the parameters set for the Housing Revenue Account.</w:t>
            </w:r>
          </w:p>
          <w:p w:rsidR="00A6719C" w:rsidRDefault="00A6719C" w:rsidP="008A22C6">
            <w:pPr>
              <w:rPr>
                <w:rFonts w:ascii="Arial" w:hAnsi="Arial" w:cs="Arial"/>
              </w:rPr>
            </w:pPr>
          </w:p>
          <w:p w:rsidR="00A6719C" w:rsidRPr="00A96C08" w:rsidRDefault="00A6719C" w:rsidP="00A6719C">
            <w:pPr>
              <w:rPr>
                <w:rFonts w:ascii="Arial" w:hAnsi="Arial" w:cs="Arial"/>
              </w:rPr>
            </w:pPr>
            <w:r>
              <w:rPr>
                <w:rFonts w:ascii="Arial" w:hAnsi="Arial" w:cs="Arial"/>
              </w:rPr>
              <w:t xml:space="preserve">The scheme is </w:t>
            </w:r>
            <w:r w:rsidRPr="00A6719C">
              <w:rPr>
                <w:rFonts w:ascii="Arial" w:hAnsi="Arial" w:cs="Arial"/>
              </w:rPr>
              <w:t>supported by £1,615,000 of Oxfordshire Growth Deal Affordable Housing grant.</w:t>
            </w:r>
          </w:p>
        </w:tc>
      </w:tr>
      <w:tr w:rsidR="00B87695" w:rsidTr="008E4629">
        <w:tc>
          <w:tcPr>
            <w:tcW w:w="4962" w:type="dxa"/>
          </w:tcPr>
          <w:p w:rsidR="00B87695" w:rsidRPr="00B87695" w:rsidRDefault="00B87695" w:rsidP="00C678ED">
            <w:pPr>
              <w:spacing w:before="120" w:after="120"/>
              <w:rPr>
                <w:rFonts w:ascii="Arial" w:hAnsi="Arial" w:cs="Arial"/>
              </w:rPr>
            </w:pPr>
            <w:r w:rsidRPr="00B87695">
              <w:rPr>
                <w:rFonts w:ascii="Arial" w:hAnsi="Arial" w:cs="Arial"/>
                <w:b/>
              </w:rPr>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rsidR="00B87695" w:rsidRDefault="00DB5DA8" w:rsidP="008A22C6">
            <w:pPr>
              <w:rPr>
                <w:rFonts w:ascii="Arial" w:hAnsi="Arial" w:cs="Arial"/>
              </w:rPr>
            </w:pPr>
            <w:r>
              <w:rPr>
                <w:rFonts w:ascii="Arial" w:hAnsi="Arial" w:cs="Arial"/>
              </w:rPr>
              <w:t>Caroline Green, Assistant Chief Executive</w:t>
            </w:r>
          </w:p>
          <w:p w:rsidR="00136CE5" w:rsidRDefault="00136CE5" w:rsidP="008A22C6">
            <w:pPr>
              <w:rPr>
                <w:rFonts w:ascii="Arial" w:hAnsi="Arial" w:cs="Arial"/>
              </w:rPr>
            </w:pPr>
          </w:p>
          <w:p w:rsidR="00136CE5" w:rsidRPr="00A96C08" w:rsidRDefault="00136CE5" w:rsidP="008A22C6">
            <w:pPr>
              <w:rPr>
                <w:rFonts w:ascii="Arial" w:hAnsi="Arial" w:cs="Arial"/>
              </w:rPr>
            </w:pPr>
            <w:r>
              <w:rPr>
                <w:rFonts w:ascii="Arial" w:hAnsi="Arial" w:cs="Arial"/>
              </w:rPr>
              <w:t>Decision taken in consultation with the Head of Financial Services and the Head of Law and Governance.</w:t>
            </w:r>
          </w:p>
        </w:tc>
      </w:tr>
      <w:tr w:rsidR="006F6326" w:rsidTr="008E4629">
        <w:tc>
          <w:tcPr>
            <w:tcW w:w="4962" w:type="dxa"/>
          </w:tcPr>
          <w:p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rsidR="00263039" w:rsidRPr="00A96C08" w:rsidRDefault="00F26107" w:rsidP="00DD1A34">
            <w:pPr>
              <w:rPr>
                <w:rFonts w:ascii="Arial" w:hAnsi="Arial" w:cs="Arial"/>
              </w:rPr>
            </w:pPr>
            <w:r w:rsidRPr="00F26107">
              <w:rPr>
                <w:rFonts w:ascii="Arial" w:hAnsi="Arial" w:cs="Arial"/>
              </w:rPr>
              <w:t>Not to transfer the properties would represent a missed opportunity to deliver affordable housing</w:t>
            </w:r>
            <w:r w:rsidR="00A6719C">
              <w:rPr>
                <w:rFonts w:ascii="Arial" w:hAnsi="Arial" w:cs="Arial"/>
              </w:rPr>
              <w:t xml:space="preserve"> and support the delivery of the OCHL business plan</w:t>
            </w:r>
            <w:r w:rsidRPr="00F26107">
              <w:rPr>
                <w:rFonts w:ascii="Arial" w:hAnsi="Arial" w:cs="Arial"/>
              </w:rPr>
              <w:t>.</w:t>
            </w:r>
          </w:p>
        </w:tc>
      </w:tr>
      <w:tr w:rsidR="006F6326" w:rsidTr="008E4629">
        <w:trPr>
          <w:trHeight w:val="1018"/>
        </w:trPr>
        <w:tc>
          <w:tcPr>
            <w:tcW w:w="4962" w:type="dxa"/>
          </w:tcPr>
          <w:p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rsidR="006F6326" w:rsidRPr="00A96C08" w:rsidRDefault="00F26107" w:rsidP="008A22C6">
            <w:pPr>
              <w:rPr>
                <w:rFonts w:ascii="Arial" w:hAnsi="Arial" w:cs="Arial"/>
              </w:rPr>
            </w:pPr>
            <w:r>
              <w:rPr>
                <w:rFonts w:ascii="Arial" w:hAnsi="Arial" w:cs="Arial"/>
              </w:rPr>
              <w:t>Report to Assistant Chief Executive, 10 September 2020.</w:t>
            </w:r>
          </w:p>
        </w:tc>
      </w:tr>
      <w:tr w:rsidR="006F6326" w:rsidTr="008E4629">
        <w:tc>
          <w:tcPr>
            <w:tcW w:w="4962"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rsidR="006F6326" w:rsidRPr="00A96C08" w:rsidRDefault="00F26107" w:rsidP="008A22C6">
            <w:pPr>
              <w:rPr>
                <w:rFonts w:ascii="Arial" w:hAnsi="Arial" w:cs="Arial"/>
              </w:rPr>
            </w:pPr>
            <w:r>
              <w:rPr>
                <w:rFonts w:ascii="Arial" w:hAnsi="Arial" w:cs="Arial"/>
              </w:rPr>
              <w:t>Key</w:t>
            </w:r>
          </w:p>
        </w:tc>
      </w:tr>
      <w:tr w:rsidR="006F6326" w:rsidTr="008E4629">
        <w:tc>
          <w:tcPr>
            <w:tcW w:w="4962" w:type="dxa"/>
          </w:tcPr>
          <w:p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rsidR="006F6326" w:rsidRPr="00A96C08" w:rsidRDefault="00F26107"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rsidR="006F6326" w:rsidRPr="00A96C08" w:rsidRDefault="00F26107"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F26107" w:rsidRPr="00F26107" w:rsidRDefault="00F26107" w:rsidP="00F26107">
            <w:pPr>
              <w:rPr>
                <w:rFonts w:ascii="Arial" w:hAnsi="Arial" w:cs="Arial"/>
              </w:rPr>
            </w:pPr>
            <w:r w:rsidRPr="00F26107">
              <w:rPr>
                <w:rFonts w:ascii="Arial" w:hAnsi="Arial" w:cs="Arial"/>
              </w:rPr>
              <w:t xml:space="preserve">Andrew Brown </w:t>
            </w:r>
          </w:p>
          <w:p w:rsidR="00F26107" w:rsidRPr="00F26107" w:rsidRDefault="00F26107" w:rsidP="00F26107">
            <w:pPr>
              <w:rPr>
                <w:rFonts w:ascii="Arial" w:hAnsi="Arial" w:cs="Arial"/>
              </w:rPr>
            </w:pPr>
            <w:r w:rsidRPr="00F26107">
              <w:rPr>
                <w:rFonts w:ascii="Arial" w:hAnsi="Arial" w:cs="Arial"/>
              </w:rPr>
              <w:t>Committee and Member Services Manager</w:t>
            </w:r>
          </w:p>
          <w:p w:rsidR="004A049B" w:rsidRPr="00A96C08" w:rsidRDefault="00F26107" w:rsidP="00F26107">
            <w:pPr>
              <w:rPr>
                <w:rFonts w:ascii="Arial" w:hAnsi="Arial" w:cs="Arial"/>
              </w:rPr>
            </w:pPr>
            <w:r>
              <w:rPr>
                <w:rFonts w:ascii="Arial" w:hAnsi="Arial" w:cs="Arial"/>
              </w:rPr>
              <w:t>22 February 2021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r>
        <w:rPr>
          <w:rFonts w:ascii="Arial" w:hAnsi="Arial" w:cs="Arial"/>
        </w:rPr>
        <w:t xml:space="preserve">Delegations made at meetings and the Council’s Finance Rules and Contract Rules (Parts 18 and 19 of the Constitution) stipulate who the decision maker must consult </w:t>
      </w:r>
      <w:r w:rsidR="00CD4BC9">
        <w:rPr>
          <w:rFonts w:ascii="Arial" w:hAnsi="Arial" w:cs="Arial"/>
        </w:rPr>
        <w:t xml:space="preserve">with </w:t>
      </w:r>
      <w:r>
        <w:rPr>
          <w:rFonts w:ascii="Arial" w:hAnsi="Arial" w:cs="Arial"/>
        </w:rPr>
        <w:t xml:space="preserve">before taking a decision. </w:t>
      </w:r>
      <w:r w:rsidR="009F6401">
        <w:rPr>
          <w:rFonts w:ascii="Arial" w:hAnsi="Arial" w:cs="Arial"/>
        </w:rPr>
        <w:t xml:space="preserve">The table below should be used to record their approval. </w:t>
      </w:r>
      <w:r w:rsidR="00CD4BC9">
        <w:rPr>
          <w:rFonts w:ascii="Arial" w:hAnsi="Arial" w:cs="Arial"/>
        </w:rPr>
        <w:t>The r</w:t>
      </w:r>
      <w:r>
        <w:rPr>
          <w:rFonts w:ascii="Arial" w:hAnsi="Arial" w:cs="Arial"/>
        </w:rPr>
        <w:t xml:space="preserve">elevant Cabinet Member(s) </w:t>
      </w:r>
      <w:r w:rsidR="00CD4BC9">
        <w:rPr>
          <w:rFonts w:ascii="Arial" w:hAnsi="Arial" w:cs="Arial"/>
        </w:rPr>
        <w:t xml:space="preserve">must be consulted on all </w:t>
      </w:r>
      <w:r>
        <w:rPr>
          <w:rFonts w:ascii="Arial" w:hAnsi="Arial" w:cs="Arial"/>
        </w:rPr>
        <w:t>decisions taken by officers.</w:t>
      </w:r>
      <w:r w:rsidRPr="00DD4885">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rsidR="00DD4885" w:rsidRPr="00A96C08" w:rsidRDefault="00DD4885" w:rsidP="00DD4885">
            <w:pPr>
              <w:rPr>
                <w:rFonts w:ascii="Arial" w:hAnsi="Arial" w:cs="Arial"/>
              </w:rPr>
            </w:pP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1161"/>
        </w:trPr>
        <w:tc>
          <w:tcPr>
            <w:tcW w:w="3828" w:type="dxa"/>
          </w:tcPr>
          <w:p w:rsidR="00DD4885" w:rsidRPr="00BF240D" w:rsidRDefault="00DD4885" w:rsidP="00BF240D">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rsidR="00DD4885" w:rsidRPr="00A96C08" w:rsidRDefault="00DD4885" w:rsidP="00DD4885">
            <w:pPr>
              <w:rPr>
                <w:rFonts w:ascii="Arial" w:hAnsi="Arial" w:cs="Arial"/>
              </w:rPr>
            </w:pP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834"/>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rsidR="00DD4885" w:rsidRPr="00A96C08" w:rsidRDefault="00DD4885" w:rsidP="00DD4885">
            <w:pPr>
              <w:rPr>
                <w:rFonts w:ascii="Arial" w:hAnsi="Arial" w:cs="Arial"/>
              </w:rPr>
            </w:pP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562"/>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rsidR="00DD4885" w:rsidRPr="00A96C08" w:rsidRDefault="00DD4885" w:rsidP="00DD4885">
            <w:pPr>
              <w:rPr>
                <w:rFonts w:ascii="Arial" w:hAnsi="Arial" w:cs="Arial"/>
              </w:rPr>
            </w:pPr>
          </w:p>
        </w:tc>
        <w:tc>
          <w:tcPr>
            <w:tcW w:w="1984" w:type="dxa"/>
            <w:vAlign w:val="center"/>
          </w:tcPr>
          <w:p w:rsidR="00DD4885" w:rsidRPr="00A96C08" w:rsidRDefault="00DD4885" w:rsidP="00DD4885">
            <w:pPr>
              <w:rPr>
                <w:rFonts w:ascii="Arial" w:hAnsi="Arial" w:cs="Arial"/>
              </w:rPr>
            </w:pPr>
          </w:p>
        </w:tc>
      </w:tr>
      <w:tr w:rsidR="00DD4885" w:rsidRPr="00A96C08" w:rsidTr="00BF240D">
        <w:trPr>
          <w:trHeight w:val="516"/>
        </w:trPr>
        <w:tc>
          <w:tcPr>
            <w:tcW w:w="3828" w:type="dxa"/>
            <w:vAlign w:val="center"/>
          </w:tcPr>
          <w:p w:rsidR="00DD4885" w:rsidRPr="00405321" w:rsidRDefault="00DD4885" w:rsidP="00BF240D">
            <w:pPr>
              <w:spacing w:before="120" w:after="120"/>
              <w:rPr>
                <w:rFonts w:ascii="Arial" w:hAnsi="Arial" w:cs="Arial"/>
              </w:rPr>
            </w:pPr>
            <w:r w:rsidRPr="00405321">
              <w:rPr>
                <w:rFonts w:ascii="Arial" w:hAnsi="Arial" w:cs="Arial"/>
                <w:b/>
              </w:rPr>
              <w:t>Ward Member(s)</w:t>
            </w:r>
            <w:r w:rsidR="00405321">
              <w:rPr>
                <w:rFonts w:ascii="Arial" w:hAnsi="Arial" w:cs="Arial"/>
              </w:rPr>
              <w:t xml:space="preserve"> – </w:t>
            </w:r>
            <w:r w:rsidR="00405321" w:rsidRPr="00405321">
              <w:rPr>
                <w:rFonts w:ascii="Arial" w:hAnsi="Arial" w:cs="Arial"/>
              </w:rPr>
              <w:t xml:space="preserve">Ward </w:t>
            </w:r>
            <w:r w:rsidR="00405321">
              <w:rPr>
                <w:rFonts w:ascii="Arial" w:hAnsi="Arial" w:cs="Arial"/>
              </w:rPr>
              <w:t xml:space="preserve">Members </w:t>
            </w:r>
            <w:r w:rsidR="00405321" w:rsidRPr="00405321">
              <w:rPr>
                <w:rFonts w:ascii="Arial" w:hAnsi="Arial" w:cs="Arial"/>
              </w:rPr>
              <w:t>should be told in advance about anything which particularly</w:t>
            </w:r>
            <w:r w:rsidR="00405321">
              <w:rPr>
                <w:rFonts w:ascii="Arial" w:hAnsi="Arial" w:cs="Arial"/>
              </w:rPr>
              <w:t xml:space="preserve"> </w:t>
            </w:r>
            <w:r w:rsidR="00405321" w:rsidRPr="00405321">
              <w:rPr>
                <w:rFonts w:ascii="Arial" w:hAnsi="Arial" w:cs="Arial"/>
              </w:rPr>
              <w:t>affects their ward and which is potentially controversia</w:t>
            </w:r>
            <w:r w:rsidR="00405321">
              <w:rPr>
                <w:rFonts w:ascii="Arial" w:hAnsi="Arial" w:cs="Arial"/>
              </w:rPr>
              <w:t xml:space="preserve">l but </w:t>
            </w:r>
            <w:r w:rsidR="00CD4BC9">
              <w:rPr>
                <w:rFonts w:ascii="Arial" w:hAnsi="Arial" w:cs="Arial"/>
              </w:rPr>
              <w:t xml:space="preserve">please note that </w:t>
            </w:r>
            <w:r w:rsidR="00405321">
              <w:rPr>
                <w:rFonts w:ascii="Arial" w:hAnsi="Arial" w:cs="Arial"/>
              </w:rPr>
              <w:t>Cabinet Members must be consulted first.</w:t>
            </w:r>
          </w:p>
        </w:tc>
        <w:tc>
          <w:tcPr>
            <w:tcW w:w="4111" w:type="dxa"/>
            <w:vAlign w:val="center"/>
          </w:tcPr>
          <w:p w:rsidR="00DD4885" w:rsidRPr="00A96C08" w:rsidRDefault="00DD4885" w:rsidP="00DD4885">
            <w:pPr>
              <w:rPr>
                <w:rFonts w:ascii="Arial" w:hAnsi="Arial" w:cs="Arial"/>
              </w:rPr>
            </w:pPr>
          </w:p>
        </w:tc>
        <w:tc>
          <w:tcPr>
            <w:tcW w:w="1984" w:type="dxa"/>
            <w:vAlign w:val="center"/>
          </w:tcPr>
          <w:p w:rsidR="00DD4885" w:rsidRPr="00A96C08" w:rsidRDefault="00DD4885" w:rsidP="00DD4885">
            <w:pPr>
              <w:rPr>
                <w:rFonts w:ascii="Arial" w:hAnsi="Arial" w:cs="Arial"/>
              </w:rPr>
            </w:pPr>
          </w:p>
        </w:tc>
      </w:tr>
    </w:tbl>
    <w:p w:rsidR="008E4629" w:rsidRDefault="008E4629" w:rsidP="002611EB">
      <w:pPr>
        <w:rPr>
          <w:rFonts w:ascii="Arial" w:hAnsi="Arial" w:cs="Arial"/>
        </w:rPr>
      </w:pPr>
    </w:p>
    <w:p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rsidR="00424A92" w:rsidRPr="00532DF2" w:rsidRDefault="00424A92" w:rsidP="00231385">
      <w:pPr>
        <w:ind w:left="-426"/>
        <w:rPr>
          <w:rFonts w:ascii="Arial" w:hAnsi="Arial" w:cs="Arial"/>
        </w:rPr>
      </w:pPr>
    </w:p>
    <w:p w:rsidR="00BF240D" w:rsidRDefault="00BF240D" w:rsidP="00BE1FD4">
      <w:pPr>
        <w:rPr>
          <w:rFonts w:ascii="Arial" w:hAnsi="Arial" w:cs="Arial"/>
          <w:b/>
          <w:sz w:val="28"/>
          <w:szCs w:val="28"/>
        </w:rPr>
      </w:pPr>
    </w:p>
    <w:p w:rsidR="00BE1FD4" w:rsidRDefault="003505E0" w:rsidP="00BE1FD4">
      <w:pPr>
        <w:rPr>
          <w:rFonts w:ascii="Arial" w:hAnsi="Arial" w:cs="Arial"/>
          <w:b/>
          <w:sz w:val="28"/>
          <w:szCs w:val="28"/>
        </w:rPr>
      </w:pPr>
      <w:r w:rsidRPr="003505E0">
        <w:rPr>
          <w:rFonts w:ascii="Arial" w:hAnsi="Arial" w:cs="Arial"/>
          <w:b/>
          <w:sz w:val="28"/>
          <w:szCs w:val="28"/>
        </w:rPr>
        <w:t>NOTES</w:t>
      </w:r>
    </w:p>
    <w:p w:rsidR="00231385" w:rsidRDefault="00231385" w:rsidP="00BE1FD4">
      <w:pPr>
        <w:rPr>
          <w:rFonts w:ascii="Arial" w:hAnsi="Arial" w:cs="Arial"/>
          <w:b/>
          <w:sz w:val="28"/>
          <w:szCs w:val="28"/>
        </w:rPr>
      </w:pPr>
    </w:p>
    <w:p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rsidR="004B1944" w:rsidRDefault="004B1944" w:rsidP="00616F3F">
      <w:pPr>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rsidR="00616F3F" w:rsidRDefault="00616F3F" w:rsidP="00616F3F">
      <w:pPr>
        <w:numPr>
          <w:ilvl w:val="0"/>
          <w:numId w:val="5"/>
        </w:numPr>
        <w:rPr>
          <w:rFonts w:ascii="Arial" w:hAnsi="Arial" w:cs="Arial"/>
        </w:rPr>
      </w:pPr>
      <w:r w:rsidRPr="00616F3F">
        <w:rPr>
          <w:rFonts w:ascii="Arial" w:hAnsi="Arial" w:cs="Arial"/>
        </w:rPr>
        <w:t xml:space="preserve">under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rsidR="00616F3F" w:rsidRDefault="00616F3F" w:rsidP="002611EB">
      <w:pPr>
        <w:numPr>
          <w:ilvl w:val="1"/>
          <w:numId w:val="5"/>
        </w:numPr>
        <w:rPr>
          <w:rFonts w:ascii="Arial" w:hAnsi="Arial" w:cs="Arial"/>
        </w:rPr>
      </w:pPr>
      <w:r>
        <w:rPr>
          <w:rFonts w:ascii="Arial" w:hAnsi="Arial" w:cs="Arial"/>
        </w:rPr>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rsidR="00616F3F" w:rsidRPr="00616F3F" w:rsidRDefault="00616F3F" w:rsidP="00616F3F">
      <w:pPr>
        <w:ind w:left="1440"/>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rsidR="00616F3F" w:rsidRDefault="00616F3F" w:rsidP="00616F3F">
      <w:pPr>
        <w:rPr>
          <w:rFonts w:ascii="Arial" w:hAnsi="Arial" w:cs="Arial"/>
        </w:rPr>
      </w:pPr>
    </w:p>
    <w:p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rsidR="00E97F84" w:rsidRDefault="00E97F84" w:rsidP="008A22C6"/>
    <w:p w:rsidR="000445D4" w:rsidRDefault="000445D4" w:rsidP="008A22C6">
      <w:pPr>
        <w:rPr>
          <w:rFonts w:ascii="Arial" w:hAnsi="Arial" w:cs="Arial"/>
          <w:b/>
        </w:rPr>
      </w:pPr>
      <w:r w:rsidRPr="000445D4">
        <w:rPr>
          <w:rFonts w:ascii="Arial" w:hAnsi="Arial" w:cs="Arial"/>
          <w:b/>
        </w:rPr>
        <w:t>Exempt or Confidential information</w:t>
      </w:r>
    </w:p>
    <w:p w:rsidR="00B15340" w:rsidRDefault="00B15340" w:rsidP="008A22C6">
      <w:pPr>
        <w:rPr>
          <w:rFonts w:ascii="Arial" w:hAnsi="Arial" w:cs="Arial"/>
          <w:b/>
        </w:rPr>
      </w:pPr>
    </w:p>
    <w:p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rsidR="005C6416" w:rsidRDefault="005C6416" w:rsidP="00B15340">
      <w:pPr>
        <w:rPr>
          <w:rFonts w:ascii="Arial" w:hAnsi="Arial" w:cs="Arial"/>
        </w:rPr>
      </w:pPr>
    </w:p>
    <w:p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rsidR="005C6416" w:rsidRDefault="005C6416" w:rsidP="005C6416">
      <w:pPr>
        <w:rPr>
          <w:rFonts w:ascii="Arial" w:hAnsi="Arial" w:cs="Arial"/>
          <w:b/>
        </w:rPr>
      </w:pPr>
    </w:p>
    <w:p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rsidR="005C6416" w:rsidRPr="00B15340" w:rsidRDefault="005C6416" w:rsidP="00804BF2">
      <w:pPr>
        <w:ind w:left="426" w:hanging="426"/>
        <w:rPr>
          <w:rFonts w:ascii="Arial" w:hAnsi="Arial" w:cs="Arial"/>
        </w:rPr>
      </w:pPr>
    </w:p>
    <w:p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4B" w:rsidRDefault="00C65A4B" w:rsidP="00F11FD1">
      <w:r>
        <w:separator/>
      </w:r>
    </w:p>
  </w:endnote>
  <w:endnote w:type="continuationSeparator" w:id="0">
    <w:p w:rsidR="00C65A4B" w:rsidRDefault="00C65A4B"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4B" w:rsidRDefault="00C65A4B" w:rsidP="00F11FD1">
      <w:r>
        <w:separator/>
      </w:r>
    </w:p>
  </w:footnote>
  <w:footnote w:type="continuationSeparator" w:id="0">
    <w:p w:rsidR="00C65A4B" w:rsidRDefault="00C65A4B" w:rsidP="00F11FD1">
      <w:r>
        <w:continuationSeparator/>
      </w:r>
    </w:p>
  </w:footnote>
  <w:footnote w:id="1">
    <w:p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B117A"/>
    <w:multiLevelType w:val="hybridMultilevel"/>
    <w:tmpl w:val="5C5E1AA6"/>
    <w:lvl w:ilvl="0" w:tplc="1E227F74">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8A168AB"/>
    <w:multiLevelType w:val="hybridMultilevel"/>
    <w:tmpl w:val="7212A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3"/>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36CE5"/>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A049B"/>
    <w:rsid w:val="004B1944"/>
    <w:rsid w:val="00504E43"/>
    <w:rsid w:val="00532DF2"/>
    <w:rsid w:val="005C6416"/>
    <w:rsid w:val="005E37E4"/>
    <w:rsid w:val="00616F3F"/>
    <w:rsid w:val="006247C4"/>
    <w:rsid w:val="006F6326"/>
    <w:rsid w:val="006F6731"/>
    <w:rsid w:val="007908F4"/>
    <w:rsid w:val="007D270E"/>
    <w:rsid w:val="00801BEB"/>
    <w:rsid w:val="00804BF2"/>
    <w:rsid w:val="00834D72"/>
    <w:rsid w:val="00844D21"/>
    <w:rsid w:val="00854133"/>
    <w:rsid w:val="008613FB"/>
    <w:rsid w:val="008676E5"/>
    <w:rsid w:val="008900A7"/>
    <w:rsid w:val="00891B19"/>
    <w:rsid w:val="008A22C6"/>
    <w:rsid w:val="008E4629"/>
    <w:rsid w:val="00986C99"/>
    <w:rsid w:val="009F048F"/>
    <w:rsid w:val="009F6401"/>
    <w:rsid w:val="00A12928"/>
    <w:rsid w:val="00A6719C"/>
    <w:rsid w:val="00A67A60"/>
    <w:rsid w:val="00A96C08"/>
    <w:rsid w:val="00AC5899"/>
    <w:rsid w:val="00B15340"/>
    <w:rsid w:val="00B23FF2"/>
    <w:rsid w:val="00B87695"/>
    <w:rsid w:val="00B928EF"/>
    <w:rsid w:val="00BD4490"/>
    <w:rsid w:val="00BE1FD4"/>
    <w:rsid w:val="00BF240D"/>
    <w:rsid w:val="00C07F80"/>
    <w:rsid w:val="00C251F7"/>
    <w:rsid w:val="00C6130E"/>
    <w:rsid w:val="00C65A4B"/>
    <w:rsid w:val="00C678ED"/>
    <w:rsid w:val="00CB5E4F"/>
    <w:rsid w:val="00CD4BC9"/>
    <w:rsid w:val="00CE6085"/>
    <w:rsid w:val="00D33F83"/>
    <w:rsid w:val="00D543D9"/>
    <w:rsid w:val="00D8278B"/>
    <w:rsid w:val="00DB01D4"/>
    <w:rsid w:val="00DB5DA8"/>
    <w:rsid w:val="00DC2E8D"/>
    <w:rsid w:val="00DD1A34"/>
    <w:rsid w:val="00DD4885"/>
    <w:rsid w:val="00DD51B2"/>
    <w:rsid w:val="00E127E3"/>
    <w:rsid w:val="00E20A54"/>
    <w:rsid w:val="00E270E5"/>
    <w:rsid w:val="00E82641"/>
    <w:rsid w:val="00E97F84"/>
    <w:rsid w:val="00F11FD1"/>
    <w:rsid w:val="00F26107"/>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7BFA-014E-4424-89CA-A2A68C4F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E358F519</Template>
  <TotalTime>2</TotalTime>
  <Pages>1</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BROWN Andrew J</cp:lastModifiedBy>
  <cp:revision>2</cp:revision>
  <cp:lastPrinted>2015-07-27T09:35:00Z</cp:lastPrinted>
  <dcterms:created xsi:type="dcterms:W3CDTF">2021-03-08T09:31:00Z</dcterms:created>
  <dcterms:modified xsi:type="dcterms:W3CDTF">2021-03-08T09:31:00Z</dcterms:modified>
</cp:coreProperties>
</file>